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10" w:rsidRPr="00CE24E7" w:rsidRDefault="00982F10">
      <w:pPr>
        <w:rPr>
          <w:rFonts w:ascii="Times New Roman" w:hAnsi="Times New Roman" w:cs="Times New Roman"/>
          <w:sz w:val="28"/>
          <w:szCs w:val="28"/>
        </w:rPr>
      </w:pPr>
    </w:p>
    <w:p w:rsidR="00B653D3" w:rsidRPr="00CE24E7" w:rsidRDefault="00B653D3">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653D3" w:rsidRPr="00B653D3" w:rsidTr="00B653D3">
        <w:trPr>
          <w:tblCellSpacing w:w="0" w:type="dxa"/>
        </w:trPr>
        <w:tc>
          <w:tcPr>
            <w:tcW w:w="3348" w:type="dxa"/>
            <w:shd w:val="clear" w:color="auto" w:fill="FFFFFF"/>
            <w:tcMar>
              <w:top w:w="0" w:type="dxa"/>
              <w:left w:w="108" w:type="dxa"/>
              <w:bottom w:w="0" w:type="dxa"/>
              <w:right w:w="108" w:type="dxa"/>
            </w:tcMar>
            <w:hideMark/>
          </w:tcPr>
          <w:p w:rsidR="00B653D3" w:rsidRPr="00B653D3" w:rsidRDefault="00B653D3" w:rsidP="00B653D3">
            <w:pPr>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rPr>
              <w:t>CHÍNH PHỦ</w:t>
            </w:r>
            <w:r w:rsidRPr="00B653D3">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B653D3" w:rsidRPr="00B653D3" w:rsidRDefault="00B653D3" w:rsidP="00B653D3">
            <w:pPr>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CỘNG HÒA XÃ HỘI CHỦ NGHĨA VIỆT NAM</w:t>
            </w:r>
            <w:r w:rsidRPr="00B653D3">
              <w:rPr>
                <w:rFonts w:ascii="Times New Roman" w:eastAsia="Times New Roman" w:hAnsi="Times New Roman" w:cs="Times New Roman"/>
                <w:b/>
                <w:bCs/>
                <w:color w:val="000000"/>
                <w:sz w:val="28"/>
                <w:szCs w:val="28"/>
                <w:lang w:val="vi-VN"/>
              </w:rPr>
              <w:br/>
              <w:t>Độc lập - Tự do - Hạnh phúc </w:t>
            </w:r>
            <w:r w:rsidRPr="00B653D3">
              <w:rPr>
                <w:rFonts w:ascii="Times New Roman" w:eastAsia="Times New Roman" w:hAnsi="Times New Roman" w:cs="Times New Roman"/>
                <w:b/>
                <w:bCs/>
                <w:color w:val="000000"/>
                <w:sz w:val="28"/>
                <w:szCs w:val="28"/>
                <w:lang w:val="vi-VN"/>
              </w:rPr>
              <w:br/>
              <w:t>---------------</w:t>
            </w:r>
          </w:p>
        </w:tc>
      </w:tr>
      <w:tr w:rsidR="00B653D3" w:rsidRPr="00B653D3" w:rsidTr="00B653D3">
        <w:trPr>
          <w:tblCellSpacing w:w="0" w:type="dxa"/>
        </w:trPr>
        <w:tc>
          <w:tcPr>
            <w:tcW w:w="3348" w:type="dxa"/>
            <w:shd w:val="clear" w:color="auto" w:fill="FFFFFF"/>
            <w:tcMar>
              <w:top w:w="0" w:type="dxa"/>
              <w:left w:w="108" w:type="dxa"/>
              <w:bottom w:w="0" w:type="dxa"/>
              <w:right w:w="108" w:type="dxa"/>
            </w:tcMar>
            <w:hideMark/>
          </w:tcPr>
          <w:p w:rsidR="00B653D3" w:rsidRPr="00B653D3" w:rsidRDefault="00B653D3" w:rsidP="00B653D3">
            <w:pPr>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Số: 55/2019/NĐ-CP</w:t>
            </w:r>
          </w:p>
        </w:tc>
        <w:tc>
          <w:tcPr>
            <w:tcW w:w="5508" w:type="dxa"/>
            <w:shd w:val="clear" w:color="auto" w:fill="FFFFFF"/>
            <w:tcMar>
              <w:top w:w="0" w:type="dxa"/>
              <w:left w:w="108" w:type="dxa"/>
              <w:bottom w:w="0" w:type="dxa"/>
              <w:right w:w="108" w:type="dxa"/>
            </w:tcMar>
            <w:hideMark/>
          </w:tcPr>
          <w:p w:rsidR="00B653D3" w:rsidRPr="00B653D3" w:rsidRDefault="00B653D3" w:rsidP="00B653D3">
            <w:pPr>
              <w:spacing w:before="120" w:after="120" w:line="234" w:lineRule="atLeast"/>
              <w:jc w:val="right"/>
              <w:rPr>
                <w:rFonts w:ascii="Times New Roman" w:eastAsia="Times New Roman" w:hAnsi="Times New Roman" w:cs="Times New Roman"/>
                <w:color w:val="000000"/>
                <w:sz w:val="28"/>
                <w:szCs w:val="28"/>
              </w:rPr>
            </w:pPr>
            <w:r w:rsidRPr="00B653D3">
              <w:rPr>
                <w:rFonts w:ascii="Times New Roman" w:eastAsia="Times New Roman" w:hAnsi="Times New Roman" w:cs="Times New Roman"/>
                <w:i/>
                <w:iCs/>
                <w:color w:val="000000"/>
                <w:sz w:val="28"/>
                <w:szCs w:val="28"/>
                <w:lang w:val="vi-VN"/>
              </w:rPr>
              <w:t>Hà Nội, ngày 24 tháng 6 năm 2019</w:t>
            </w:r>
          </w:p>
        </w:tc>
      </w:tr>
    </w:tbl>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 </w:t>
      </w:r>
    </w:p>
    <w:p w:rsidR="00B653D3" w:rsidRPr="00B653D3" w:rsidRDefault="00B653D3" w:rsidP="00B653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NGHỊ ĐỊNH</w:t>
      </w:r>
    </w:p>
    <w:p w:rsidR="00B653D3" w:rsidRPr="00B653D3" w:rsidRDefault="00B653D3" w:rsidP="00B653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VỀ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i/>
          <w:iCs/>
          <w:color w:val="000000"/>
          <w:sz w:val="28"/>
          <w:szCs w:val="28"/>
          <w:lang w:val="vi-VN"/>
        </w:rPr>
        <w:t>Căn cứ Luật Tổ chức Chính phủ ngày 19 tháng 6 năm 2015;</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i/>
          <w:iCs/>
          <w:color w:val="000000"/>
          <w:sz w:val="28"/>
          <w:szCs w:val="28"/>
          <w:lang w:val="vi-VN"/>
        </w:rPr>
        <w:t>Căn cứ Luật Hỗ trợ doanh nghiệp nhỏ và vừa ngày 12 tháng 6 năm 2017; Theo đề nghị của Bộ trưởng Bộ Tư pháp;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i/>
          <w:iCs/>
          <w:color w:val="000000"/>
          <w:sz w:val="28"/>
          <w:szCs w:val="28"/>
          <w:lang w:val="vi-VN"/>
        </w:rPr>
        <w:t>Chính phủ ban hành Nghị định về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Chương I</w:t>
      </w:r>
    </w:p>
    <w:p w:rsidR="00B653D3" w:rsidRPr="00B653D3" w:rsidRDefault="00B653D3" w:rsidP="00B653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NHỮNG QUY ĐỊNH CHUNG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 Phạm vi điều chỉnh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Nghị định này quy định chi tiết các hoạt động hỗ trợ pháp lý cho doanh nghiệp nhỏ và vừa; trách nhiệm của các bộ, cơ quan ngang bộ, chính quyền địa phương cấp tỉnh, cơ quan, tổ chức khác và cá nhân có liên quan trong công tác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2. Đối tượng áp dụng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Bộ, cơ quan ngang bộ; chính quyền địa phương cấp tỉnh.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Doanh nghiệp nhỏ và vừa.</w:t>
      </w:r>
      <w:bookmarkStart w:id="0" w:name="_GoBack"/>
      <w:bookmarkEnd w:id="0"/>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3. Tổ chức đại diện cho doanh nghiệp.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4. Cơ quan, tổ chức và cá nhân cung cấp dịch vụ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5. Cơ quan, tổ chức và cá nhân khác có liên quan đến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3. Giải thích từ ngữ</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Trong Nghị định này, các từ ngữ dưới đây được hiểu như sau:</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Hỗ trợ pháp lý cho doanh nghiệp nhỏ và vừa là việc bộ, cơ quan ngang bộ, chính quyền địa phương cấp tỉnh thực hiện các hoạt động xây dựng, quản lý, duy trì, cập nhật cơ sở dữ liệu về pháp luật; xây dựng và tổ chức thực hiện các chương trình hỗ trợ pháp lý nhằm nâng cao hiểu biết, ý thức và thói quen tuân thủ pháp luật, hạn chế rủi ro, vướng mắc pháp lý trong hoạt động kinh doanh của doanh nghiệp, góp phần nâng cao năng lực cạnh tranh của doanh nghiệp và hiệu quả tổ chức thi hành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Chương trình hỗ trợ pháp lý cho doanh nghiệp nhỏ và vừa là tập hợp các hoạt động do một cơ quan, tổ chức chủ trì thực hiện dưới các hình thức, nội dung cụ thể, trong một thời hạn nhất định theo quy định của Nghị định này nhằm cung cấp thông tin, bồi dưỡng kiến thức pháp luật và tư vấn pháp luật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Mạng lưới tư vấn viên pháp luật là một bộ phận của mạng lưới tư vấn viên theo Luật Hỗ trợ doanh nghiệp nhỏ và vừa, gồm luật sư, tổ chức hành nghề luật sư, tư vấn viên pháp luật, trung tâm tư vấn pháp luật đủ điều kiện hành nghề tư vấn pháp luật theo quy định của pháp luật, tự nguyện thông báo tham gia và được bộ, cơ quan ngang bộ công bố công khai (sau đây gọi là tư vấn viên pháp luật) để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 xml:space="preserve">4. Cơ sở dữ liệu về pháp luật theo quy định của Nghị định này bao gồm cơ sở dữ liệu về văn bản quy phạm pháp luật và cơ sở dữ liệu về vụ việc, vướng mắc pháp </w:t>
      </w:r>
      <w:r w:rsidRPr="00B653D3">
        <w:rPr>
          <w:rFonts w:ascii="Times New Roman" w:eastAsia="Times New Roman" w:hAnsi="Times New Roman" w:cs="Times New Roman"/>
          <w:color w:val="000000"/>
          <w:sz w:val="28"/>
          <w:szCs w:val="28"/>
          <w:lang w:val="vi-VN"/>
        </w:rPr>
        <w:lastRenderedPageBreak/>
        <w:t>lý được các bộ, cơ quan ngang bộ và Ủy ban nhân dân cấp tỉnh xây dựng, quản lý, duy trì, cập nhật để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4. Nguyên tắc thực hiện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Việc hỗ trợ pháp lý cho doanh nghiệp nhỏ và vừa có trọng tâm, có thời hạn, phù hợp với mục tiêu hỗ trợ và khả năng cân đối nguồn lực; bảo đảm công khai, minh bạch, hiệu quả; không chồng chéo, trùng lặp.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Hoạt động hỗ trợ pháp lý cho doanh nghiệp nhỏ và vừa được thực hiện trên cơ sở phối hợp giữa cơ quan nhà nước với tổ chức đại diện của doanh nghiệp nhỏ và vừa; tổ chức, cá nhân cung cấp dịch vụ hỗ trợ pháp lý cho doanh nghiệp nhỏ và vừa và cơ quan, tổ chức, cá nhân khác có liên quan.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Việc hỗ trợ pháp lý cho doanh nghiệp nhỏ và vừa được ưu tiên thực hiện thông qua tổ chức, cá nhân cung cấp dịch vụ hỗ trợ pháp lý.</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4. Căn cứ nguồn lực, chương trình hỗ trợ, cơ quan, tổ chức hỗ trợ pháp lý cho doanh nghiệp nhỏ và vừa quyết định hỗ trợ theo thứ tự ưu tiên như sau:</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Doanh nghiệp nhỏ và vừa do phụ nữ làm chủ, doanh nghiệp sử dụng nhiều lao động nữ hơn nộp hồ sơ đáp ứng đủ điều kiện được hỗ trợ trước;</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Doanh nghiệp nhỏ và vừa sử dụng từ 30% tổng số lao động trở lên là người khuyết tật theo quy định của Luật Người khuyết tật;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Doanh nghiệp nhỏ và vừa nộp hồ sơ đáp ứng đủ điều kiện hỗ trợ trước được hỗ trợ trước.</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5. Nhà nước khuyến khích và có chính sách hỗ trợ, tạo điều kiện cho cơ quan, tổ chức, doanh nghiệp, cá nhân tham gia thực hiện hỗ trợ pháp lý cho doanh nghiệp nhỏ và vừa; huy động các nguồn lực xã hội đóng góp cho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Chương II</w:t>
      </w:r>
    </w:p>
    <w:p w:rsidR="00B653D3" w:rsidRPr="00B653D3" w:rsidRDefault="00B653D3" w:rsidP="00B653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lastRenderedPageBreak/>
        <w:t>Mục 1. XÂY DỰNG, QUẢN LÝ, DUY TRÌ, CẬP NHẬT, KHAI THÁC VÀ SỬ DỤNG CƠ SỞ DỮ LIỆU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5. Xây dựng, quản lý, duy trì, cập nhật, khai thác và sử dụng cơ sở dữ liệu về văn bản quy phạm pháp luật</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Việc xây dựng, quản lý, duy trì, cập nhật, khai thác và sử dụng cơ sở dữ liệu về văn bản quy phạm pháp luật được thực hiện theo Nghị định số </w:t>
      </w:r>
      <w:r w:rsidRPr="00CE24E7">
        <w:rPr>
          <w:rFonts w:ascii="Times New Roman" w:eastAsia="Times New Roman" w:hAnsi="Times New Roman" w:cs="Times New Roman"/>
          <w:color w:val="000000"/>
          <w:sz w:val="28"/>
          <w:szCs w:val="28"/>
        </w:rPr>
        <w:t xml:space="preserve">52/2015/NĐ-CP </w:t>
      </w:r>
      <w:r w:rsidRPr="00B653D3">
        <w:rPr>
          <w:rFonts w:ascii="Times New Roman" w:eastAsia="Times New Roman" w:hAnsi="Times New Roman" w:cs="Times New Roman"/>
          <w:color w:val="000000"/>
          <w:sz w:val="28"/>
          <w:szCs w:val="28"/>
          <w:lang w:val="vi-VN"/>
        </w:rPr>
        <w:t>ngày 28 tháng 5 năm 2015 của Chính phủ về cơ sở dữ liệu quốc gia về pháp luật hoặc văn bản quy phạm pháp luật sửa đổi, bổ sung hoặc thay thế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Việc xây dựng, quản lý, duy trì, cập nhật, khai thác và sử dụng cơ sở dữ liệu về điều ước quốc tế liên quan đến thương mại mà nước Cộng hòa xã hội chủ nghĩa Việt Nam là thành viên được thực hiện theo Luật Điều ước quốc tế và văn bản quy phạm pháp luật quy định chi tiết Luật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6. Xây dựng, quản lý, duy trì, cập nhật, khai thác và sử dụng cơ s</w:t>
      </w:r>
      <w:r w:rsidRPr="00B653D3">
        <w:rPr>
          <w:rFonts w:ascii="Times New Roman" w:eastAsia="Times New Roman" w:hAnsi="Times New Roman" w:cs="Times New Roman"/>
          <w:b/>
          <w:bCs/>
          <w:color w:val="000000"/>
          <w:sz w:val="28"/>
          <w:szCs w:val="28"/>
        </w:rPr>
        <w:t>ở </w:t>
      </w:r>
      <w:r w:rsidRPr="00B653D3">
        <w:rPr>
          <w:rFonts w:ascii="Times New Roman" w:eastAsia="Times New Roman" w:hAnsi="Times New Roman" w:cs="Times New Roman"/>
          <w:b/>
          <w:bCs/>
          <w:color w:val="000000"/>
          <w:sz w:val="28"/>
          <w:szCs w:val="28"/>
          <w:lang w:val="vi-VN"/>
        </w:rPr>
        <w:t>dữ liệu về vụ việc, vướng mắc pháp lý</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Cơ sở dữ liệu về vụ việc, vướng mắc pháp lý bao gồm: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Các bản án, quyết định của tòa án; phán quyết, quyết định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Các văn bản trả lời của bộ, cơ quan ngang bộ, Ủy ban nhân dân cấp tỉnh đối với các vướng mắc pháp lý cho doanh nghiệp nhỏ và vừa trong quá trình áp dụng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Các văn bản tư vấn pháp luật của mạng lưới tư vấn viên pháp luật đối với các vụ việc, vướng mắc pháp lý theo yêu cầu của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 xml:space="preserve">2. Bộ Tư pháp chủ trì tổ chức xây dựng, quản lý, cập nhật cơ sở dữ liệu về vụ việc, vướng mắc pháp lý trên Trang thông tin điện tử hỗ trợ pháp lý cho doanh nghiệp nhỏ và vừa trên cơ sở các bộ, cơ quan ngang bộ, Ủy ban nhân dân cấp tỉnh tự cập nhật trên cổng thông tin điện tử của mình các thông tin liên quan theo quy định tại </w:t>
      </w:r>
      <w:r w:rsidRPr="00B653D3">
        <w:rPr>
          <w:rFonts w:ascii="Times New Roman" w:eastAsia="Times New Roman" w:hAnsi="Times New Roman" w:cs="Times New Roman"/>
          <w:color w:val="000000"/>
          <w:sz w:val="28"/>
          <w:szCs w:val="28"/>
          <w:lang w:val="vi-VN"/>
        </w:rPr>
        <w:lastRenderedPageBreak/>
        <w:t>khoản 5 Điều 7 và khoản 1 Điều 8 Nghị định này, gửi cho Bộ Tư pháp trong thời hạn 15 ngày kể từ ngày tự cập nhật để Bộ Tư pháp cập nhật trên Trang thông tin điện tử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Doanh nghiệp nhỏ và vừa được khai thác và sử dụng miễn phí cơ sở dữ liệu về vụ việc, vướng mắc pháp lý.</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7. Xây dựng, quản lý, duy trì, cập nhật dữ liệu về bản án, quyết định của tòa án; phán quyết của trọng tài thương mại; quyết định xử lý vụ việc cạnh tranh; quyết định xử lý vi phạm hành chính liên quan đến doanh nghiệp</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Việc công bố bản án, quyết định có hiệu lực pháp luật của tòa án trên cổng thông tin điện tử của tòa án được thực hiện theo Nghị quyết số </w:t>
      </w:r>
      <w:r w:rsidRPr="00CE24E7">
        <w:rPr>
          <w:rFonts w:ascii="Times New Roman" w:eastAsia="Times New Roman" w:hAnsi="Times New Roman" w:cs="Times New Roman"/>
          <w:color w:val="000000"/>
          <w:sz w:val="28"/>
          <w:szCs w:val="28"/>
        </w:rPr>
        <w:t xml:space="preserve">03/2017/NQ-HĐTP </w:t>
      </w:r>
      <w:r w:rsidRPr="00B653D3">
        <w:rPr>
          <w:rFonts w:ascii="Times New Roman" w:eastAsia="Times New Roman" w:hAnsi="Times New Roman" w:cs="Times New Roman"/>
          <w:color w:val="000000"/>
          <w:sz w:val="28"/>
          <w:szCs w:val="28"/>
          <w:lang w:val="vi-VN"/>
        </w:rPr>
        <w:t>ngày 16 tháng 3 năm 2017 của Hội đồng Thẩm phán Tòa án nhân dân tối cao về việc công bố bản án, quyết định trên cổng thông tin điện tử của Tòa án hoặc văn bản quy phạm pháp luật sửa đổi, bổ sung hoặc thay thế Nghị quyết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Việc công bố phán quyết, quyết định của trọng tài thương mại được thực hiện theo pháp luật trọng tài thương mại, thỏa thuận của các bên có liên quan đến phán quyết, quyết định đó.</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Việc công bố quyết định xử lý vụ việc cạnh tranh được thực hiện theo quy định của Luật Cạnh tranh và văn bản quy phạm pháp luật quy định chi tiết Luật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4. Việc công bố quyết định xử lý vi phạm hành chính được thực hiện theo quy định của Luật Xử lý vi phạm hành chính và các văn bản quy phạm pháp luật quy định chi tiết Luật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5. Bộ, cơ quan ngang bộ, Ủy ban nhân dân cấp tỉnh có trách nhiệm cập nhật và đăng tải các bản án, quyết định của tòa án; phán quyết, quyết định của trọng tài thương mại; quyết định xử lý vụ việc cạnh tranh; quyết định xử lý vi phạm hành chính liên quan đến doanh nghiệp được phép công khai, có hiệu lực thi hành mà bộ, cơ quan ngang bộ, Ủy ban nhân dân cấp tỉnh là một bên có liên quan lên cổng thông tin điện tử của mình hoặc kết nối với cổng thông tin điện tử công khai các văn bản này theo quy định tại các khoản 1, 2, 3 và 4 Điều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lastRenderedPageBreak/>
        <w:t>Điều 8. Xây dựng, quản lý, duy trì, cập nhật dữ liệu về văn bản trả lời của cơ quan nhà nước đối với vướng mắc pháp lý của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Bộ, cơ quan ngang bộ, Ủy ban nhân dân cấp tỉnh có trách nhiệm trả lời đối với vướng mắc pháp lý cho doanh nghiệp nhỏ và vừa trong áp dụng chung về pháp luật trong phạm vi ngành, lĩnh vực, địa phương do mình quản lý trong thời hạn 15 ngày làm việc kể từ ngày nhận được yêu cầu; trường hợp vướng mắc phức tạp thì có thể trả lời trong thời hạn tối đa 30 ngày làm việc kể từ ngày nhận được yêu cầu.</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Việc trả lời của cơ quan, nhà nước quy định tại Điều này không áp dụng đối với các yêu cầu của doanh nghiệp nhỏ và vừa về vụ việc cụ thể liên quan đến hoạt động sản xuất, kinh doanh của doanh nghiệp. Trường hợp này, bộ, cơ quan ngang bộ, Ủy ban nhân dân cấp tỉnh thông báo cho doanh nghiệp để có thể sử dụng mạng lưới tư vấn viên pháp luật theo quy định tại Điều 9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Bộ, cơ quan ngang bộ, Ủy ban nhân dân cấp tỉnh có trách nhiệm hệ thống hóa, cập nhật dữ liệu về văn bản trả lời của bộ, cơ quan ngang bộ, địa phương mình đối với vướng mắc pháp lý của doanh nghiệp nhỏ và vừa trong áp dụng chung về pháp luật lên cổng thông tin điện tử của mình trong thời hạn 15 ngày kể từ ngày văn bản được ký ban hành.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9. Xây dựng, quản lý, duy trì, cập nhật dữ liệu về văn bản tư vấn pháp luật của mạng lưới tư vấn viên pháp luật và thủ tục hỗ trợ chi phí tư vấn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Doanh nghiệp nhỏ và vừa tiếp cận mạng lưới tư vấn viên pháp luật theo lĩnh vực quản lý của bộ, cơ quan ngang bộ thông qua danh sách tư vấn viên pháp luật được đăng tải </w:t>
      </w:r>
      <w:proofErr w:type="spellStart"/>
      <w:r w:rsidRPr="00B653D3">
        <w:rPr>
          <w:rFonts w:ascii="Times New Roman" w:eastAsia="Times New Roman" w:hAnsi="Times New Roman" w:cs="Times New Roman"/>
          <w:color w:val="000000"/>
          <w:sz w:val="28"/>
          <w:szCs w:val="28"/>
        </w:rPr>
        <w:t>tr</w:t>
      </w:r>
      <w:proofErr w:type="spellEnd"/>
      <w:r w:rsidRPr="00B653D3">
        <w:rPr>
          <w:rFonts w:ascii="Times New Roman" w:eastAsia="Times New Roman" w:hAnsi="Times New Roman" w:cs="Times New Roman"/>
          <w:color w:val="000000"/>
          <w:sz w:val="28"/>
          <w:szCs w:val="28"/>
          <w:lang w:val="vi-VN"/>
        </w:rPr>
        <w:t>ên cổng thông tin của bộ, cơ quan ngang bộ đó.</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Sau khi thỏa thuận dịch vụ tư vấn pháp luật với tư vấn viên pháp luật phù hợp thuộc mạng lưới tư vấn viên pháp luật theo quy định tại khoản 1 Điều này, doanh nghiệp nhỏ và vừa gửi hồ sơ trực tiếp hoặc qua dịch vụ bưu chính hoặc bằng phương thức điện tử đến bộ, cơ quan ngang bộ đề nghị hỗ trợ chi phí tư vấn pháp luật về vụ việc, vướng mắc. Hồ sơ đề nghị bao gồm:</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a) Tờ khai xác định doanh nghiệp siêu nhỏ, doanh nghiệp nhỏ, doanh nghiệp vừa theo mẫu được quy định tại Nghị định số </w:t>
      </w:r>
      <w:r w:rsidRPr="00CE24E7">
        <w:rPr>
          <w:rFonts w:ascii="Times New Roman" w:eastAsia="Times New Roman" w:hAnsi="Times New Roman" w:cs="Times New Roman"/>
          <w:color w:val="000000"/>
          <w:sz w:val="28"/>
          <w:szCs w:val="28"/>
        </w:rPr>
        <w:t xml:space="preserve">39/2018/NĐ-CP </w:t>
      </w:r>
      <w:r w:rsidRPr="00B653D3">
        <w:rPr>
          <w:rFonts w:ascii="Times New Roman" w:eastAsia="Times New Roman" w:hAnsi="Times New Roman" w:cs="Times New Roman"/>
          <w:color w:val="000000"/>
          <w:sz w:val="28"/>
          <w:szCs w:val="28"/>
          <w:lang w:val="vi-VN"/>
        </w:rPr>
        <w:t>ngày 11 tháng 3 năm 2018 của Chính phủ quy định chi tiết một số điều của Luật Hỗ trợ doanh nghiệp nhỏ và vừa hoặc văn bản quy phạm pháp luật sửa đổi, bổ sung hoặc thay thế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Bản chụp Giấy chứng nhận đăng ký doanh nghiệp;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Hợp đồng dịch vụ tư vấn pháp luật giữa tư vấn viên pháp luật và doanh nghiệp nhỏ và vừa, trong đó nêu rõ nội dung tư vấn, phí dịch vụ tư vấn.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Bộ, cơ quan ngang bộ phải công khai địa chỉ đơn vị đầu mối, phương thức điện tử tiếp nhận hồ sơ đề nghị trên cổng thông tin điện tử của mình.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Trong thời hạn 10 ngày làm việc kể từ ngày nhận đủ hồ sơ đề nghị theo quy định tại khoản 2 Điều này, bộ, cơ quan ngang bộ xem xét thông báo bằng văn bản về việc đồng ý hoặc không đồng ý hỗ trợ chi phí tư vấn pháp luật cho doanh nghiệp nhỏ và vừa theo nguyên tắc quy định tại Điều 4 và các quy định tại Nghị định này. Trường hợp không đồng ý hỗ trợ chi phí thì phải nêu rõ lý do.</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Trường hợp đồng ý hỗ trợ chi phí thì mức chi phí hỗ trợ cụ thể như sau:</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Doanh nghiệp siêu nhỏ được hỗ trợ 100% chi phí tư vấn pháp luật theo văn bản thỏa thuận cung cấp dịch vụ tư vấn pháp luật giữa tư vấn viên pháp luật và doanh nghiệp, nhưng không quá 03 triệu đồng một năm;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Doanh nghiệp nhỏ được hỗ trợ tối đa 30% chi phí tư vấn pháp luật theo văn bản thỏa thuận cung cấp dịch vụ tư vấn pháp luật giữa tư vấn viên pháp luật và doanh nghiệp, nhưng không quá 05 triệu đồng một năm;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Doanh nghiệp vừa được hỗ trợ tối đa 10% chi phí tư vấn pháp luật theo văn bản thỏa thuận cung cấp dịch vụ tư vấn pháp luật giữa tư vấn viên pháp luật và doanh nghiệp, nhưng không quá 10 triệu đồng một năm;</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 xml:space="preserve">d) Hộ kinh doanh chuyển đổi sang doanh nghiệp nhỏ và vừa, doanh nghiệp nhỏ và vừa khởi nghiệp sáng tạo, doanh nghiệp nhỏ và vừa tham gia cụm liên kết ngành, chuỗi giá trị được hỗ trợ chi phí tư vấn pháp luật theo quy định tại Chương IV của </w:t>
      </w:r>
      <w:r w:rsidRPr="00B653D3">
        <w:rPr>
          <w:rFonts w:ascii="Times New Roman" w:eastAsia="Times New Roman" w:hAnsi="Times New Roman" w:cs="Times New Roman"/>
          <w:color w:val="000000"/>
          <w:sz w:val="28"/>
          <w:szCs w:val="28"/>
          <w:lang w:val="vi-VN"/>
        </w:rPr>
        <w:lastRenderedPageBreak/>
        <w:t>Nghị định số </w:t>
      </w:r>
      <w:r w:rsidRPr="00CE24E7">
        <w:rPr>
          <w:rFonts w:ascii="Times New Roman" w:eastAsia="Times New Roman" w:hAnsi="Times New Roman" w:cs="Times New Roman"/>
          <w:color w:val="000000"/>
          <w:sz w:val="28"/>
          <w:szCs w:val="28"/>
        </w:rPr>
        <w:t xml:space="preserve">39/2018/NĐ-CP </w:t>
      </w:r>
      <w:r w:rsidRPr="00B653D3">
        <w:rPr>
          <w:rFonts w:ascii="Times New Roman" w:eastAsia="Times New Roman" w:hAnsi="Times New Roman" w:cs="Times New Roman"/>
          <w:color w:val="000000"/>
          <w:sz w:val="28"/>
          <w:szCs w:val="28"/>
          <w:lang w:val="vi-VN"/>
        </w:rPr>
        <w:t>ngày 11 tháng 3 năm 2018 của Chính phủ quy định chi tiết một số điều của Luật Hỗ trợ doanh nghiệp nhỏ và vừa hoặc văn bản quy phạm pháp luật sửa đổi, bổ sung hoặc thay thế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4. Trường hợp được bộ, cơ quan ngang bộ đồng ý hỗ trợ chi phí tư vấn pháp luật và sau khi có văn bản tư vấn pháp luật của tư vấn viên pháp luật thì doanh nghiệp nhỏ và vừa gửi hồ sơ đề nghị thanh toán chi phí tư vấn pháp luật vụ việc, vướng mắc được hỗ trợ. Hồ sơ thanh toán bao gồm: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Văn bản tư vấn pháp luật, bao gồm 01 bản đầy đủ và 01 bản đã loại bỏ các thông tin về bí mật kinh doanh của doanh nghiệp;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Văn bản đề nghị thanh toán chi phí tư vấn pháp luật có xác nhận của tư vấn viên pháp luật và doanh nghiệp nhỏ và vừa được tư vấn, trong đó có viện dẫn số và ngày của văn bản đồng ý theo quy định tại khoản 3 Điều này, tên người thụ hưởng và số tài khoản, ngân hàng của người thụ hưởng;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Hóa đơn tài chính theo quy định của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5. Trong vòng 10 ngày làm việc kể từ ngày nhận được đủ hồ sơ theo quy định tại khoản 4 Điều này, bộ, cơ quan ngang bộ thanh toán chi phí hỗ trợ tư vấn vụ việc, vướng mắc cho doanh nghiệp nhỏ và vừa theo đề nghị thanh toán; trường hợp nội dung văn bản tư vấn pháp luật không thuộc phạm vi tư vấn theo văn bản thỏa thuận cung cấp dịch vụ tư vấn pháp luật giữa tư vấn viên pháp luật và doanh nghiệp quy định tại điểm c khoản 2 Điều này thì bộ, cơ quan ngang bộ từ chối thanh toán chi phí và có văn bản thông báo với doanh nghiệp và tư vấn viên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Trong thời hạn 15 ngày làm việc kể từ ngày thanh toán chi phí hỗ trợ tư vấn vụ việc, bộ, cơ quan ngang bộ gửi văn bản tư vấn pháp luật đã loại bỏ các thông tin về bí mật kinh doanh của doanh nghiệp theo quy định tại điểm a khoản 4 Điều này cho Bộ Tư pháp và Bộ Kế hoạch và Đầu tư để đăng tải lên Trang thông tin điện tử hỗ trợ pháp lý cho doanh nghiệp và cổng thông tin quốc gia hỗ trợ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Mục 2. XÂY DỰNG VÀ TỔ CHỨC THỰC HIỆN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lastRenderedPageBreak/>
        <w:t>Điều 10. Căn cứ xây dựng và các hoạt động của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Căn cứ xây dựng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Nhu cầu hỗ trợ pháp lý cho doanh nghiệp nhỏ và vừa trong từng thời kỳ, ngành, lĩnh vực, địa phương;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Chương trình xây dựng luật, pháp lệnh của Quốc hội, Ủy ban thường vụ Quốc hội và kế hoạch ban hành các văn bản quy phạm pháp luật của Chính phủ, Thủ tướng Chính phủ, bộ, cơ quan ngang bộ, chính quyền địa phương cấp tỉnh;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Nguồn lực của bộ, cơ quan ngang bộ, chính quyền địa phương cấp tỉnh, tổ chức đại diện cho doanh nghiệp.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Các hoạt động của Chương trình hỗ trợ pháp lý cho doanh nghiệp nhỏ và vừa bao gồm: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Hoạt động cung cấp thông tin, bao gồm thông tin pháp luật trong nước, thông tin pháp luật nước ngoài, pháp luật quốc tế, cảnh báo rủi ro pháp lý và chính sách của ngành, lĩnh vực, địa phương liên quan đến doanh nghiệp nhỏ và vừa (nếu có);</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Hoạt động bồi dưỡng kiến thức pháp luật, bao gồm bồi dưỡng kiến thức pháp luật cho doanh nghiệp nhỏ và vừa; bồi dưỡng kiến thức pháp luật cho người làm công tác hỗ trợ pháp lý cho doanh nghiệp nhỏ và vừa và bồi dưỡng kiến thức pháp luật cho mạng lưới tư vấn viên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Hoạt động tư vấn pháp luật, bao gồm đối thoại, giải quyết các vướng mắc pháp lý cho doanh nghiệp và các hoạt động tư vấn pháp luật khác phù hợp với các quy định của pháp luật trên cơ sở nhu cầu của doanh nghiệp nhỏ và vừa và nguồn lực theo quy định tại điểm c khoản 1 Điều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11. Thời hạn thực hiện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Chương trình hỗ trợ pháp lý cho doanh nghiệp nhỏ và vừa có thời hạn tối đa 05 năm kể từ ngày được phê duyệt.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2. Cơ quan, tổ chức chủ trì thực hiện chương trình hỗ trợ pháp lý cho doanh nghiệp nhỏ và vừa tổ chức tổng kết để xây dựng hoặc đề xuất xây dựng chương trình hỗ trợ pháp lý cho doanh nghiệp nhỏ và vừa trên cơ sở nhu cầu của doanh nghiệp và nguồn lực của cơ quan, tổ chức.</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12. Xây dựng và phê duyệt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Đối với chương trình hỗ trợ pháp lý liên ngành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Bộ, cơ quan ngang bộ, Ủy ban nhân dân cấp tỉnh; tổ chức đại diện cho doanh nghiệp; tổ chức, cá nhân cung cấp dịch vụ hỗ trợ pháp lý chủ động hoặc theo yêu cầu của Bộ Tư pháp đề xuất hoạt động hỗ trợ pháp lý cho doanh nghiệp nhỏ và vừa, gửi đến Bộ Tư pháp để tổng hợp xây dựng chương trình hỗ trợ pháp lý liên ngành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Bộ Tư pháp chủ trì, phối hợp với Bộ Kế hoạch và Đầu tư, Bộ Tài chính, các tổ chức đại diện cho doanh nghiệp và tổ chức khác, cá nhân có liên quan xây dựng chương trình hỗ trợ pháp lý liên ngành trình Thủ tướng Chính phủ phê duyệt.</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Đối với chương trình hỗ trợ pháp lý cho doanh nghiệp nhỏ và vừa trong phạm vi bộ, cơ quan ngang bộ thì bộ, cơ quan ngang bộ lồng ghép các nội dung của chương trình hỗ trợ pháp lý cho doanh nghiệp nhỏ và vừa vào Đề án hỗ trợ doanh nghiệp nhỏ và vừa của bộ, cơ quan ngang bộ theo quy định tại Nghị định số </w:t>
      </w:r>
      <w:r w:rsidRPr="00CE24E7">
        <w:rPr>
          <w:rFonts w:ascii="Times New Roman" w:eastAsia="Times New Roman" w:hAnsi="Times New Roman" w:cs="Times New Roman"/>
          <w:color w:val="000000"/>
          <w:sz w:val="28"/>
          <w:szCs w:val="28"/>
        </w:rPr>
        <w:t xml:space="preserve">39/2018/NĐ-CP </w:t>
      </w:r>
      <w:r w:rsidRPr="00B653D3">
        <w:rPr>
          <w:rFonts w:ascii="Times New Roman" w:eastAsia="Times New Roman" w:hAnsi="Times New Roman" w:cs="Times New Roman"/>
          <w:color w:val="000000"/>
          <w:sz w:val="28"/>
          <w:szCs w:val="28"/>
          <w:lang w:val="vi-VN"/>
        </w:rPr>
        <w:t>ngày 11 tháng 3 năm 2018 của Chính phủ quy định chi tiết một số điều của Luật Hỗ trợ doanh nghiệp nhỏ và vừa hoặc văn bản quy phạm pháp luật sửa đổi, bổ sung hoặc thay thế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Đối với chương trình hỗ trợ pháp lý cho doanh nghiệp nhỏ và vừa trong phạm vi địa phương: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Sở Tư pháp chủ trì, phối hợp với các sở, ngành, tổ chức đại diện cho doanh nghiệp, tổ chức khác và cá nhân có liên quan xây dựng và đề xuất chương trình hỗ trợ pháp lý cho doanh nghiệp nhỏ và vừa trong phạm vi địa phương trình Chủ tịch Ủy ban nhân dân cấp tỉnh phê duyệt;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b) Chủ tịch Ủy ban nhân dân cấp tỉnh phê duyệt chương trình hỗ trợ pháp lý cho doanh nghiệp nhỏ và vừa trong phạm vi địa phương trên cơ sở đề nghị của Sở Tư pháp;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Hội đồng nhân dân cấp tỉnh bố trí kinh phí thực hiện chương trình hỗ trợ pháp lý cho doanh nghiệp nhỏ và vừa trong phạm vi địa phương.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4. Quyết định phê duyệt chương trình hỗ trợ pháp lý cho doanh nghiệp nhỏ và vừa theo quy định tại các khoản 1 và 3 Điều này và nội dung chương trình hỗ trợ pháp lý cho doanh nghiệp nhỏ và vừa theo quy định tại khoản 2 Điều này phải được gửi cho Bộ Tư pháp, bộ, cơ quan ngang bộ liên quan và đăng công khai trên cổng thông tin điện tử của cơ quan, tổ chức chủ trì thực hiện.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5: Việc điều chỉnh chương trình hỗ trợ pháp lý cho doanh nghiệp nhỏ và vừa hoặc nội dung chương trình hỗ trợ pháp lý cho doanh nghiệp nhỏ và vừa trong Đề án hỗ trợ doanh nghiệp nhỏ và vừa sau khi phê duyệt được thực hiện theo quy định tại các khoản 1, 2, 3 và 4 Điều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13. Triển khai thực hiện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Sau khi chương trình hỗ trợ pháp lý cho doanh nghiệp nhỏ và vừa được cơ quan nhà nước có thẩm quyền phê duyệt, bộ, cơ quan ngang bộ, Ủy ban nhân dân cấp tỉnh có trách nhiệm thực hiện chương trình trong phạm vi chức năng, nhiệm vụ của mình hoặc giao cho các cơ quan, tổ chức, cá nhân có chức năng, nhiệm vụ hỗ trợ pháp lý cho doanh nghiệp nhỏ và vừa thực hiện.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Cơ quan, tổ chức chủ trì thực hiện chương trình hỗ trợ pháp lý cho doanh nghiệp nhỏ và vừa ban hành và công bố công khai kế hoạch triển khai thực hiện trên cổng thông tin điện tử của mình và Trang thông tin điện tử hỗ trợ pháp lý cho doanh nghiệp nhỏ và vừa của Bộ Tư pháp.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Việc lựa chọn, ký hợp đồng, đánh giá kết quả thực hiện và thanh lý hợp đồng với cơ quan, tổ chức, cá nhân có chức năng cung cấp dịch vụ hỗ trợ pháp lý cho doanh nghiệp nhỏ và vừa để triển khai các hoạt động của chương trình được thực hiện theo quy định của pháp luật đấu thầu và pháp luật có liên quan.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3. Căn cứ vào nội dung, nguồn lực của chương trình hỗ trợ pháp lý cho doanh nghiệp nhỏ và vừa theo quy định tại khoản 1 Điều này và nhu cầu hỗ trợ pháp lý của doanh nghiệp nhỏ và vừa thành viên, tổ chức đại diện cho doanh nghiệp có thể đề xuất chương trình hỗ trợ pháp lý cho doanh nghiệp nhỏ và vừa do mình chủ trì thực hiện theo đúng nội dung chương trình hỗ trợ, pháp lý cho doanh nghiệp nhỏ và vừa theo quy định tại khoản 1 Điều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Căn cứ vào nội dung, nguồn lực của chương trình hỗ trợ pháp lý cho doanh nghiệp nhỏ và vừa theo quy định tại khoản 1 Điều này, bộ, cơ quan ngang bộ, Ủy ban nhân dân cấp tỉnh hỗ trợ kinh phí nhưng tối đa không quá 50% kinh phí thực hiện chương trình hỗ trợ pháp lý cho doanh nghiệp nhỏ và vừa do tổ chức đại diện cho doanh nghiệp đề xuất từ nguồn kinh phí thực hiện chương trình hỗ trợ pháp lý cho doanh nghiệp nhỏ và vừa theo quy định tại khoản 1 Điều này. Kinh phí còn lại do tổ chức đại diện cho doanh nghiệp tự chi trả hoặc từ nguồn xã hội hóa, huy động từ các cơ quan, tổ chức và doanh nghiệp để thực hiện;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Việc lựa chọn, ký hợp đồng, đánh giá kết quả thực hiện và thanh lý hợp đồng với tổ chức đại diện cho doanh nghiệp nhỏ và vừa để thực hiện chương trình hỗ trợ pháp lý cho doanh nghiệp nhỏ và vừa quy định tại khoản này được thực hiện theo quy định của pháp luật đấu thầu và pháp luật có liên quan.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Chương III</w:t>
      </w:r>
    </w:p>
    <w:p w:rsidR="00B653D3" w:rsidRPr="00B653D3" w:rsidRDefault="00B653D3" w:rsidP="00B653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TRÁCH NHIỆM THỰC HIỆN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14. Trách nhiệm tổ chức thực hiện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Bộ Tư pháp có trách nhiệm: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Thống nhất quản lý nhà nước về hỗ trợ pháp lý cho doanh nghiệp nhỏ và vừa trong phạm vi cả nước;</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Xây dựng, trình cơ quan có thẩm quyền ban hành hoặc ban hành theo thẩm quyền văn bản quy phạm pháp luật, văn bản hướng dẫn về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c) Tham gia ý kiến đối với hoạt động hỗ trợ pháp lý cho doanh nghiệp nhỏ và vừa của bộ, cơ quan ngang bộ, Ủy ban nhân dân cấp tỉnh khi có yêu cầu, trong đó có việc xây dựng, phê duyệt và thực hiện chương trình hoặc nội dung chương trình hỗ trợ pháp lý cho doanh nghiệp nhỏ và vừa trong phạm vi bộ, cơ quan ngang bộ, chính quyền địa phương cấp tỉnh;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d) Xây dựng, thực hiện chương trình hỗ trợ pháp lý liên ngành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đ) Tổ chức xây dựng, quản lý, cập nhật Trang thông tin điện tử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e) Tổ chức đánh giá độc lập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g) Định kỳ 05 năm hoặc đột xuất theo yêu cầu của Chính phủ, Thủ tướng Chính phủ tổ chức tổng kết, báo cáo Chính phủ, Thủ tướng Chính phủ công tác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Bộ Tài chính có trách nhiệm chủ trì, phối hợp với Bộ Tư pháp hướng dẫn lập dự toán, quản lý, sử dụng và quyết toán kinh phí ngân sách nhà nước cho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Bộ, cơ quan ngang bộ có trách nhiệm: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Cập nhật cơ sở dữ liệu về pháp luật trong phạm vi ngành, lĩnh vực do mình quản lý liên quan đến doanh nghiệp nhỏ và vừa và gửi cho Bộ Tư pháp;</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Xây dựng và tổ chức thực hiện nội dung chương trình hỗ trợ pháp lý cho doanh nghiệp nhỏ và vừa để cung cấp thông tin, bồi dưỡng kiến thức pháp luật, tư vấn pháp luật cho doanh nghiệp nhỏ và vừa trong phạm vi ngành, lĩnh vực do mình quản lý trong Đề án hỗ trợ doanh nghiệp nhỏ và vừa trong phạm vi của bộ, cơ quan ngang bộ theo quy định tại Nghị định số </w:t>
      </w:r>
      <w:r w:rsidRPr="00CE24E7">
        <w:rPr>
          <w:rFonts w:ascii="Times New Roman" w:eastAsia="Times New Roman" w:hAnsi="Times New Roman" w:cs="Times New Roman"/>
          <w:color w:val="000000"/>
          <w:sz w:val="28"/>
          <w:szCs w:val="28"/>
        </w:rPr>
        <w:t xml:space="preserve">39/2018/NĐ-CP </w:t>
      </w:r>
      <w:r w:rsidRPr="00B653D3">
        <w:rPr>
          <w:rFonts w:ascii="Times New Roman" w:eastAsia="Times New Roman" w:hAnsi="Times New Roman" w:cs="Times New Roman"/>
          <w:color w:val="000000"/>
          <w:sz w:val="28"/>
          <w:szCs w:val="28"/>
          <w:lang w:val="vi-VN"/>
        </w:rPr>
        <w:t>ngày 11 tháng 3 năm 2018 của Chính phủ quy định chi tiết một số điều của Luật Hỗ trợ doanh nghiệp nhỏ và vừa hoặc văn bản quy phạm pháp luật sửa đổi, bổ sung hoặc thay thế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lastRenderedPageBreak/>
        <w:t>c) Xây dựng mục hỗ trợ pháp lý cho doanh nghiệp nhỏ và vừa trên cổng thông tin điện tử của mình và kết nối tới Trang thông tin điện tử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d) Tổng hợp, gửi báo cáo kết quả hoạt động hỗ trợ pháp lý cho doanh nghiệp nhỏ và vừa trong phạm vi ngành, lĩnh vực do mình quản lý theo yêu cầu của Bộ Tư pháp để tổng hợp báo cáo Chính phủ, Thủ tướng Chính phủ.</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4. Chính quyền địa phương cấp tỉnh: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Hội đồng nhân dân cấp tỉnh có trách nhiệm ban hành chính sách về hỗ trợ pháp lý cho doanh nghiệp nhỏ và vừa tại địa phương; bảo đảm nguồn kinh phí từ ngân sách địa phương để thực hiện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Ủy ban nhân dân cấp tỉnh có trách nhiệm tổ chức thực hiện hoạt động hỗ trợ pháp lý cho doanh nghiệp nhỏ và vừa tại địa phương; gửi báo cáo kết quả hoạt động hỗ trợ doanh nghiệp nhỏ và vừa trong phạm vi địa phương theo yêu cầu của Bộ Tư pháp để tổng hợp báo cáo Chính phủ, Thủ tướng Chính phủ.</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5. Tổ chức đại diện cho doanh nghiệp có trách nhiệm: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Tham gia xây dựng cơ sở dữ liệu về pháp luật, chủ trì, tham gia xây dựng, thực hiện các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Đại diện và bảo vệ quyền, lợi ích hợp pháp của doanh nghiệp nhỏ và vừa trong hoạt động hỗ trợ pháp lý cho doanh nghiệp nhỏ và vừa; huy động các nguồn lực để hỗ trợ pháp lý cho doanh nghiệp nhỏ và vừa thành viên;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Tham gia xây dựng, phản biện, triển khai chính sách liên quan đến hoạt động hỗ trợ pháp lý cho doanh nghiệp nhỏ và vừa; tham gia đánh giá cơ sở dữ liệu về pháp luật và chương trình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d) Thực hiện cung cấp dịch vụ hỗ trợ pháp lý cho doanh nghiệp nhỏ và vừa theo quy định của pháp luật và điều lệ của tổ chức đại diện cho doanh nghiệp.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 xml:space="preserve">6. Tư vấn viên pháp luật có trách nhiệm bảo đảm các điều kiện hành nghề tư vấn pháp luật và thực hiện các quyền, nghĩa vụ của mình theo quy định của pháp luật </w:t>
      </w:r>
      <w:r w:rsidRPr="00B653D3">
        <w:rPr>
          <w:rFonts w:ascii="Times New Roman" w:eastAsia="Times New Roman" w:hAnsi="Times New Roman" w:cs="Times New Roman"/>
          <w:color w:val="000000"/>
          <w:sz w:val="28"/>
          <w:szCs w:val="28"/>
          <w:lang w:val="vi-VN"/>
        </w:rPr>
        <w:lastRenderedPageBreak/>
        <w:t>liên quan đến tư vấn viên pháp luật đó khi tham gia mạng lưới tư vấn viên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7. Doanh nghiệp nhỏ và vừa có trách nhiệm: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Phối hợp với các cơ quan nhà nước và tổ chức đại diện cho doanh nghiệp nhỏ và vừa trong việc thực hiện hoạt động hỗ trợ pháp lý cho doanh nghiệp nhỏ và vừa theo quy định tại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Thực hiện đúng và đầy đủ các quy định có liên quan, trình tự, thủ tục để thụ hưởng hoạt động hỗ trợ pháp lý cho doanh nghiệp nhỏ và vừa theo quy định của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Thụ hưởng hoạt động hỗ trợ pháp lý cho doanh nghiệp nhỏ và vừa bảo đảm hiệu quả, tiết kiệm, phục vụ hoạt động kinh doanh của mình.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15. Bảo đảm nguồn lực thực hiện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Tổ chức pháp chế thuộc bộ, cơ quan ngang bộ làm đầu mối triển khai hoạt động hỗ trợ pháp lý cho doanh nghiệp nhỏ và vừa theo quy định tại Nghị định này, xây dựng mạng lưới tư vấn viên pháp luật của bộ, cơ quan ngang bộ.</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Sở Tư pháp tỉnh, thành phố trực thuộc trung ương làm đầu mối thực hiện hoạt động hỗ trợ pháp lý cho doanh nghiệp nhỏ và vừa theo quy định tại Nghị định này; giúp Ủy ban nhân dân cấp tỉnh xây dựng và chủ trì thực hiện chương trình hỗ trợ pháp lý cho doanh nghiệp nhỏ và vừa trong phạm vi địa phương.</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Kinh phí bảo đảm cho hoạt động hỗ trợ pháp lý cho doanh nghiệp nhỏ và vừa do ngân sách nhà nước đảm bảo, được bố trí trong dự toán chi thường xuyên ngân sách nhà nước hàng năm trên cơ sở kế hoạch triển khai hoạt động hỗ trợ pháp lý cho doanh nghiệp nhỏ và vừa của bộ, cơ quan ngang bộ, Ủy ban nhân dân cấp tỉnh theo quy định của pháp luật về ngân sách nhà nước.</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Các bộ, cơ quan ngang bộ, Ủy ban nhân dân cấp tỉnh được huy động, sử dụng kinh phí tài trợ, hỗ trợ của các tổ chức, cá nhân trong và ngoài nước phục vụ hoạt động hỗ trợ pháp lý cho doanh nghiệp nhỏ và vừa theo quy định của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lastRenderedPageBreak/>
        <w:t>Điều 16. Kiểm tra, giám sát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Cơ quan, tổ chức chủ trì thực hiện hoạt động hỗ trợ pháp lý cho doanh nghiệp nhỏ và vừa có quyền kiểm tra, giám sát việc thực hiện hoạt động hỗ trợ pháp lý cho doanh nghiệp nhỏ và vừa theo quy định của pháp luật.</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Nội dung kiểm tra, giám sát bao gồm:</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a) Chất lượng, đối tượng thụ hưởng của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b) Việc thực hiện trình tự, thủ tục, nội dung hỗ trợ pháp lý cho doanh nghiệp nhỏ và vừa; việc tiếp thu, phản hồi ý kiến phản ánh của doanh nghiệp về kết quả thực hiện hoạt động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c) Việc chấp hành pháp luật trong quản lý, sử dụng kinh phí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17. Đánh giá hoạt động hỗ trợ pháp lý cho doanh nghiệp nhỏ</w:t>
      </w:r>
      <w:r w:rsidRPr="00B653D3">
        <w:rPr>
          <w:rFonts w:ascii="Times New Roman" w:eastAsia="Times New Roman" w:hAnsi="Times New Roman" w:cs="Times New Roman"/>
          <w:color w:val="000000"/>
          <w:sz w:val="28"/>
          <w:szCs w:val="28"/>
          <w:lang w:val="vi-VN"/>
        </w:rPr>
        <w:t> </w:t>
      </w:r>
      <w:r w:rsidRPr="00B653D3">
        <w:rPr>
          <w:rFonts w:ascii="Times New Roman" w:eastAsia="Times New Roman" w:hAnsi="Times New Roman" w:cs="Times New Roman"/>
          <w:b/>
          <w:bCs/>
          <w:color w:val="000000"/>
          <w:sz w:val="28"/>
          <w:szCs w:val="28"/>
          <w:lang w:val="vi-VN"/>
        </w:rPr>
        <w:t>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Cơ quan, tổ chức chủ trì thực hiện việc xây dựng, quản lý, duy trì, cập nhật cơ sở dữ liệu về pháp luật, chương trình hỗ trợ pháp lý cho doanh nghiệp nhỏ và vừa tổ chức đánh giá kết quả thực hiện, tác động đối với đối tượng được hỗ trợ và công khai kết quả đánh giá tại mục hỗ trợ pháp lý cho doanh nghiệp nhỏ và vừa trên cổng thông tin điện tử của mình.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Việc tổng hợp ý kiến phản hồi của doanh nghiệp nhỏ và vừa thụ hưởng hoạt động hỗ trợ pháp lý là cơ sở đánh giá hiệu quả của hoạt động hỗ trợ pháp lý cho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3. Định kỳ 05 năm Bộ Tư pháp có trách nhiệm tổ chức tổng kết, đánh giá hoạt động hỗ trợ pháp lý cho doanh nghiệp nhỏ và vừa, báo cáo Chính phủ, Thủ tướng Chính phủ.</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Chương IV</w:t>
      </w:r>
    </w:p>
    <w:p w:rsidR="00B653D3" w:rsidRPr="00B653D3" w:rsidRDefault="00B653D3" w:rsidP="00B653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KHOẢN THI HÀNH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lastRenderedPageBreak/>
        <w:t>Điều 18. Quy định chuyển tiếp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Hoạt động hỗ trợ pháp lý cho doanh nghiệp nhỏ và vừa đã được triển khai thực hiện trước ngày Nghị định này có hiệu lực thi hành thì tiếp tục được thực hiện theo nội dung, chương trình, kế hoạch, dự án đã được phê duyệt đến hết thời hạn theo quyết định phê duyệt của cơ quan có thẩm quyền.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19. Hỗ trợ pháp lý cho đối tượng không phải là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Tùy thuộc vào nguồn lực, các bộ, cơ quan ngang bộ, chính quyền địa phương cấp tỉnh, tổ chức đại diện cho doanh nghiệp có thể quyết định áp dụng các quy định về hỗ trợ pháp lý cho doanh nghiệp nhỏ và vừa để hỗ trợ pháp lý cho tổ chức, cá nhân kinh doanh không phải là doanh nghiệp nhỏ và vừa.</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20. Hiệu lực thi hành</w:t>
      </w:r>
    </w:p>
    <w:p w:rsidR="00B653D3" w:rsidRPr="00B653D3" w:rsidRDefault="00B653D3" w:rsidP="00B653D3">
      <w:pPr>
        <w:shd w:val="clear" w:color="auto" w:fill="FFFFFF"/>
        <w:spacing w:after="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Nghị định này có hiệu lực thi hành từ ngày 16 tháng 8 năm 2019 và thay thế Nghị định số </w:t>
      </w:r>
      <w:r w:rsidRPr="00CE24E7">
        <w:rPr>
          <w:rFonts w:ascii="Times New Roman" w:eastAsia="Times New Roman" w:hAnsi="Times New Roman" w:cs="Times New Roman"/>
          <w:color w:val="000000"/>
          <w:sz w:val="28"/>
          <w:szCs w:val="28"/>
        </w:rPr>
        <w:t xml:space="preserve">66/2008/NĐ-CP </w:t>
      </w:r>
      <w:r w:rsidRPr="00B653D3">
        <w:rPr>
          <w:rFonts w:ascii="Times New Roman" w:eastAsia="Times New Roman" w:hAnsi="Times New Roman" w:cs="Times New Roman"/>
          <w:color w:val="000000"/>
          <w:sz w:val="28"/>
          <w:szCs w:val="28"/>
          <w:lang w:val="vi-VN"/>
        </w:rPr>
        <w:t>ngày 28 tháng 5 năm 2008 của Chính phủ về hỗ trợ pháp lý cho doanh nghiệp.</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t>Điều 21. Trách nhiệm thi hành</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1. Bộ Tư pháp có trách nhiệm phối hợp với các bộ, cơ quan ngang bộ, chính quyền địa phương cấp tỉnh triển khai Nghị định này và báo cáo Chính phủ, Thủ tướng Chính phủ tình hình thực hiện.</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2. Các Bộ trưởng, Thủ trưởng cơ quan ngang bộ, chính quyền địa phương cấp tỉnh chịu trách nhiệm thi hành Nghị định này./.</w:t>
      </w:r>
    </w:p>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B653D3" w:rsidRPr="00B653D3" w:rsidTr="00B653D3">
        <w:trPr>
          <w:tblCellSpacing w:w="0" w:type="dxa"/>
        </w:trPr>
        <w:tc>
          <w:tcPr>
            <w:tcW w:w="4908" w:type="dxa"/>
            <w:shd w:val="clear" w:color="auto" w:fill="FFFFFF"/>
            <w:tcMar>
              <w:top w:w="0" w:type="dxa"/>
              <w:left w:w="108" w:type="dxa"/>
              <w:bottom w:w="0" w:type="dxa"/>
              <w:right w:w="108" w:type="dxa"/>
            </w:tcMar>
            <w:hideMark/>
          </w:tcPr>
          <w:p w:rsidR="00B653D3" w:rsidRPr="00B653D3" w:rsidRDefault="00B653D3" w:rsidP="00B653D3">
            <w:pPr>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i/>
                <w:iCs/>
                <w:color w:val="000000"/>
                <w:sz w:val="28"/>
                <w:szCs w:val="28"/>
                <w:lang w:val="vi-VN"/>
              </w:rPr>
              <w:br/>
              <w:t>Nơi nhận:</w:t>
            </w:r>
            <w:r w:rsidRPr="00B653D3">
              <w:rPr>
                <w:rFonts w:ascii="Times New Roman" w:eastAsia="Times New Roman" w:hAnsi="Times New Roman" w:cs="Times New Roman"/>
                <w:b/>
                <w:bCs/>
                <w:i/>
                <w:iCs/>
                <w:color w:val="000000"/>
                <w:sz w:val="28"/>
                <w:szCs w:val="28"/>
                <w:lang w:val="vi-VN"/>
              </w:rPr>
              <w:br/>
            </w:r>
            <w:r w:rsidRPr="00B653D3">
              <w:rPr>
                <w:rFonts w:ascii="Times New Roman" w:eastAsia="Times New Roman" w:hAnsi="Times New Roman" w:cs="Times New Roman"/>
                <w:color w:val="000000"/>
                <w:sz w:val="28"/>
                <w:szCs w:val="28"/>
                <w:lang w:val="vi-VN"/>
              </w:rPr>
              <w:t>- Ban Bí thư Trung ương Đảng;</w:t>
            </w:r>
            <w:r w:rsidRPr="00B653D3">
              <w:rPr>
                <w:rFonts w:ascii="Times New Roman" w:eastAsia="Times New Roman" w:hAnsi="Times New Roman" w:cs="Times New Roman"/>
                <w:color w:val="000000"/>
                <w:sz w:val="28"/>
                <w:szCs w:val="28"/>
                <w:lang w:val="vi-VN"/>
              </w:rPr>
              <w:br/>
              <w:t>- Thủ tướng, các Phó Thủ tướng Chính phủ;</w:t>
            </w:r>
            <w:r w:rsidRPr="00B653D3">
              <w:rPr>
                <w:rFonts w:ascii="Times New Roman" w:eastAsia="Times New Roman" w:hAnsi="Times New Roman" w:cs="Times New Roman"/>
                <w:color w:val="000000"/>
                <w:sz w:val="28"/>
                <w:szCs w:val="28"/>
                <w:lang w:val="vi-VN"/>
              </w:rPr>
              <w:br/>
              <w:t xml:space="preserve">- Các bộ, cơ quan ngang bộ, cơ quan </w:t>
            </w:r>
            <w:r w:rsidRPr="00B653D3">
              <w:rPr>
                <w:rFonts w:ascii="Times New Roman" w:eastAsia="Times New Roman" w:hAnsi="Times New Roman" w:cs="Times New Roman"/>
                <w:color w:val="000000"/>
                <w:sz w:val="28"/>
                <w:szCs w:val="28"/>
                <w:lang w:val="vi-VN"/>
              </w:rPr>
              <w:lastRenderedPageBreak/>
              <w:t>thuộc Chính phủ;</w:t>
            </w:r>
            <w:r w:rsidRPr="00B653D3">
              <w:rPr>
                <w:rFonts w:ascii="Times New Roman" w:eastAsia="Times New Roman" w:hAnsi="Times New Roman" w:cs="Times New Roman"/>
                <w:color w:val="000000"/>
                <w:sz w:val="28"/>
                <w:szCs w:val="28"/>
                <w:lang w:val="vi-VN"/>
              </w:rPr>
              <w:br/>
              <w:t>- HĐND, UBND các tỉnh, thành phố trực thuộc trung ương;</w:t>
            </w:r>
            <w:r w:rsidRPr="00B653D3">
              <w:rPr>
                <w:rFonts w:ascii="Times New Roman" w:eastAsia="Times New Roman" w:hAnsi="Times New Roman" w:cs="Times New Roman"/>
                <w:color w:val="000000"/>
                <w:sz w:val="28"/>
                <w:szCs w:val="28"/>
                <w:lang w:val="vi-VN"/>
              </w:rPr>
              <w:br/>
              <w:t>- Văn phòng Trung ương và các Ban của Đảng;</w:t>
            </w:r>
            <w:r w:rsidRPr="00B653D3">
              <w:rPr>
                <w:rFonts w:ascii="Times New Roman" w:eastAsia="Times New Roman" w:hAnsi="Times New Roman" w:cs="Times New Roman"/>
                <w:color w:val="000000"/>
                <w:sz w:val="28"/>
                <w:szCs w:val="28"/>
                <w:lang w:val="vi-VN"/>
              </w:rPr>
              <w:br/>
              <w:t>- Văn phòng Tổng Bí thư;</w:t>
            </w:r>
            <w:r w:rsidRPr="00B653D3">
              <w:rPr>
                <w:rFonts w:ascii="Times New Roman" w:eastAsia="Times New Roman" w:hAnsi="Times New Roman" w:cs="Times New Roman"/>
                <w:color w:val="000000"/>
                <w:sz w:val="28"/>
                <w:szCs w:val="28"/>
                <w:lang w:val="vi-VN"/>
              </w:rPr>
              <w:br/>
              <w:t>- Văn phòng Chủ tịch nước;</w:t>
            </w:r>
            <w:r w:rsidRPr="00B653D3">
              <w:rPr>
                <w:rFonts w:ascii="Times New Roman" w:eastAsia="Times New Roman" w:hAnsi="Times New Roman" w:cs="Times New Roman"/>
                <w:color w:val="000000"/>
                <w:sz w:val="28"/>
                <w:szCs w:val="28"/>
                <w:lang w:val="vi-VN"/>
              </w:rPr>
              <w:br/>
              <w:t>- Hội đồng dân tộc và các Ủy ban của Quốc hội;</w:t>
            </w:r>
            <w:r w:rsidRPr="00B653D3">
              <w:rPr>
                <w:rFonts w:ascii="Times New Roman" w:eastAsia="Times New Roman" w:hAnsi="Times New Roman" w:cs="Times New Roman"/>
                <w:color w:val="000000"/>
                <w:sz w:val="28"/>
                <w:szCs w:val="28"/>
                <w:lang w:val="vi-VN"/>
              </w:rPr>
              <w:br/>
              <w:t>- Văn phòng Quốc hội;</w:t>
            </w:r>
            <w:r w:rsidRPr="00B653D3">
              <w:rPr>
                <w:rFonts w:ascii="Times New Roman" w:eastAsia="Times New Roman" w:hAnsi="Times New Roman" w:cs="Times New Roman"/>
                <w:color w:val="000000"/>
                <w:sz w:val="28"/>
                <w:szCs w:val="28"/>
                <w:lang w:val="vi-VN"/>
              </w:rPr>
              <w:br/>
              <w:t>- Tòa án nhân dân tối cao;</w:t>
            </w:r>
            <w:r w:rsidRPr="00B653D3">
              <w:rPr>
                <w:rFonts w:ascii="Times New Roman" w:eastAsia="Times New Roman" w:hAnsi="Times New Roman" w:cs="Times New Roman"/>
                <w:color w:val="000000"/>
                <w:sz w:val="28"/>
                <w:szCs w:val="28"/>
                <w:lang w:val="vi-VN"/>
              </w:rPr>
              <w:br/>
              <w:t>- Viện kiểm sát nhân dân tối cao;</w:t>
            </w:r>
            <w:r w:rsidRPr="00B653D3">
              <w:rPr>
                <w:rFonts w:ascii="Times New Roman" w:eastAsia="Times New Roman" w:hAnsi="Times New Roman" w:cs="Times New Roman"/>
                <w:color w:val="000000"/>
                <w:sz w:val="28"/>
                <w:szCs w:val="28"/>
                <w:lang w:val="vi-VN"/>
              </w:rPr>
              <w:br/>
              <w:t>- Kiểm toán nhà nước;</w:t>
            </w:r>
            <w:r w:rsidRPr="00B653D3">
              <w:rPr>
                <w:rFonts w:ascii="Times New Roman" w:eastAsia="Times New Roman" w:hAnsi="Times New Roman" w:cs="Times New Roman"/>
                <w:color w:val="000000"/>
                <w:sz w:val="28"/>
                <w:szCs w:val="28"/>
                <w:lang w:val="vi-VN"/>
              </w:rPr>
              <w:br/>
              <w:t>- Ủy ban Giám sát tài chính Quốc gia;</w:t>
            </w:r>
            <w:r w:rsidRPr="00B653D3">
              <w:rPr>
                <w:rFonts w:ascii="Times New Roman" w:eastAsia="Times New Roman" w:hAnsi="Times New Roman" w:cs="Times New Roman"/>
                <w:color w:val="000000"/>
                <w:sz w:val="28"/>
                <w:szCs w:val="28"/>
                <w:lang w:val="vi-VN"/>
              </w:rPr>
              <w:br/>
              <w:t>- Ngân hàng Chính sách xã hội;</w:t>
            </w:r>
            <w:r w:rsidRPr="00B653D3">
              <w:rPr>
                <w:rFonts w:ascii="Times New Roman" w:eastAsia="Times New Roman" w:hAnsi="Times New Roman" w:cs="Times New Roman"/>
                <w:color w:val="000000"/>
                <w:sz w:val="28"/>
                <w:szCs w:val="28"/>
                <w:lang w:val="vi-VN"/>
              </w:rPr>
              <w:br/>
              <w:t>- Ngân hàng Phát triển Việt Nam;</w:t>
            </w:r>
            <w:r w:rsidRPr="00B653D3">
              <w:rPr>
                <w:rFonts w:ascii="Times New Roman" w:eastAsia="Times New Roman" w:hAnsi="Times New Roman" w:cs="Times New Roman"/>
                <w:color w:val="000000"/>
                <w:sz w:val="28"/>
                <w:szCs w:val="28"/>
                <w:lang w:val="vi-VN"/>
              </w:rPr>
              <w:br/>
              <w:t>- Ủy ban trung ương Mặt trận Tổ quốc Việt Nam;</w:t>
            </w:r>
            <w:r w:rsidRPr="00B653D3">
              <w:rPr>
                <w:rFonts w:ascii="Times New Roman" w:eastAsia="Times New Roman" w:hAnsi="Times New Roman" w:cs="Times New Roman"/>
                <w:color w:val="000000"/>
                <w:sz w:val="28"/>
                <w:szCs w:val="28"/>
                <w:lang w:val="vi-VN"/>
              </w:rPr>
              <w:br/>
              <w:t>- Cơ quan trung ương của các đoàn thể;</w:t>
            </w:r>
            <w:r w:rsidRPr="00B653D3">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B653D3">
              <w:rPr>
                <w:rFonts w:ascii="Times New Roman" w:eastAsia="Times New Roman" w:hAnsi="Times New Roman" w:cs="Times New Roman"/>
                <w:color w:val="000000"/>
                <w:sz w:val="28"/>
                <w:szCs w:val="28"/>
                <w:lang w:val="vi-VN"/>
              </w:rPr>
              <w:br/>
              <w:t>- Lưu: VT, PL (02).</w:t>
            </w:r>
          </w:p>
        </w:tc>
        <w:tc>
          <w:tcPr>
            <w:tcW w:w="3948" w:type="dxa"/>
            <w:shd w:val="clear" w:color="auto" w:fill="FFFFFF"/>
            <w:tcMar>
              <w:top w:w="0" w:type="dxa"/>
              <w:left w:w="108" w:type="dxa"/>
              <w:bottom w:w="0" w:type="dxa"/>
              <w:right w:w="108" w:type="dxa"/>
            </w:tcMar>
            <w:hideMark/>
          </w:tcPr>
          <w:p w:rsidR="00B653D3" w:rsidRPr="00B653D3" w:rsidRDefault="00B653D3" w:rsidP="00B653D3">
            <w:pPr>
              <w:spacing w:before="120" w:after="120" w:line="234" w:lineRule="atLeast"/>
              <w:jc w:val="center"/>
              <w:rPr>
                <w:rFonts w:ascii="Times New Roman" w:eastAsia="Times New Roman" w:hAnsi="Times New Roman" w:cs="Times New Roman"/>
                <w:color w:val="000000"/>
                <w:sz w:val="28"/>
                <w:szCs w:val="28"/>
              </w:rPr>
            </w:pPr>
            <w:r w:rsidRPr="00B653D3">
              <w:rPr>
                <w:rFonts w:ascii="Times New Roman" w:eastAsia="Times New Roman" w:hAnsi="Times New Roman" w:cs="Times New Roman"/>
                <w:b/>
                <w:bCs/>
                <w:color w:val="000000"/>
                <w:sz w:val="28"/>
                <w:szCs w:val="28"/>
                <w:lang w:val="vi-VN"/>
              </w:rPr>
              <w:lastRenderedPageBreak/>
              <w:t>TM. CHÍNH PHỦ</w:t>
            </w:r>
            <w:r w:rsidRPr="00B653D3">
              <w:rPr>
                <w:rFonts w:ascii="Times New Roman" w:eastAsia="Times New Roman" w:hAnsi="Times New Roman" w:cs="Times New Roman"/>
                <w:b/>
                <w:bCs/>
                <w:color w:val="000000"/>
                <w:sz w:val="28"/>
                <w:szCs w:val="28"/>
                <w:lang w:val="vi-VN"/>
              </w:rPr>
              <w:br/>
              <w:t>THỦ TƯỚNG</w:t>
            </w:r>
            <w:r w:rsidRPr="00B653D3">
              <w:rPr>
                <w:rFonts w:ascii="Times New Roman" w:eastAsia="Times New Roman" w:hAnsi="Times New Roman" w:cs="Times New Roman"/>
                <w:b/>
                <w:bCs/>
                <w:color w:val="000000"/>
                <w:sz w:val="28"/>
                <w:szCs w:val="28"/>
                <w:lang w:val="vi-VN"/>
              </w:rPr>
              <w:br/>
            </w:r>
            <w:r w:rsidRPr="00B653D3">
              <w:rPr>
                <w:rFonts w:ascii="Times New Roman" w:eastAsia="Times New Roman" w:hAnsi="Times New Roman" w:cs="Times New Roman"/>
                <w:b/>
                <w:bCs/>
                <w:color w:val="000000"/>
                <w:sz w:val="28"/>
                <w:szCs w:val="28"/>
                <w:lang w:val="vi-VN"/>
              </w:rPr>
              <w:br/>
            </w:r>
            <w:r w:rsidRPr="00B653D3">
              <w:rPr>
                <w:rFonts w:ascii="Times New Roman" w:eastAsia="Times New Roman" w:hAnsi="Times New Roman" w:cs="Times New Roman"/>
                <w:b/>
                <w:bCs/>
                <w:color w:val="000000"/>
                <w:sz w:val="28"/>
                <w:szCs w:val="28"/>
                <w:lang w:val="vi-VN"/>
              </w:rPr>
              <w:br/>
            </w:r>
            <w:r w:rsidRPr="00B653D3">
              <w:rPr>
                <w:rFonts w:ascii="Times New Roman" w:eastAsia="Times New Roman" w:hAnsi="Times New Roman" w:cs="Times New Roman"/>
                <w:b/>
                <w:bCs/>
                <w:color w:val="000000"/>
                <w:sz w:val="28"/>
                <w:szCs w:val="28"/>
                <w:lang w:val="vi-VN"/>
              </w:rPr>
              <w:br/>
            </w:r>
            <w:r w:rsidRPr="00B653D3">
              <w:rPr>
                <w:rFonts w:ascii="Times New Roman" w:eastAsia="Times New Roman" w:hAnsi="Times New Roman" w:cs="Times New Roman"/>
                <w:b/>
                <w:bCs/>
                <w:color w:val="000000"/>
                <w:sz w:val="28"/>
                <w:szCs w:val="28"/>
                <w:lang w:val="vi-VN"/>
              </w:rPr>
              <w:lastRenderedPageBreak/>
              <w:br/>
              <w:t>Nguyễn Xuân Phúc</w:t>
            </w:r>
          </w:p>
        </w:tc>
      </w:tr>
    </w:tbl>
    <w:p w:rsidR="00B653D3" w:rsidRPr="00B653D3" w:rsidRDefault="00B653D3" w:rsidP="00B653D3">
      <w:pPr>
        <w:shd w:val="clear" w:color="auto" w:fill="FFFFFF"/>
        <w:spacing w:before="120" w:after="120" w:line="234" w:lineRule="atLeast"/>
        <w:rPr>
          <w:rFonts w:ascii="Times New Roman" w:eastAsia="Times New Roman" w:hAnsi="Times New Roman" w:cs="Times New Roman"/>
          <w:color w:val="000000"/>
          <w:sz w:val="28"/>
          <w:szCs w:val="28"/>
        </w:rPr>
      </w:pPr>
      <w:r w:rsidRPr="00B653D3">
        <w:rPr>
          <w:rFonts w:ascii="Times New Roman" w:eastAsia="Times New Roman" w:hAnsi="Times New Roman" w:cs="Times New Roman"/>
          <w:color w:val="000000"/>
          <w:sz w:val="28"/>
          <w:szCs w:val="28"/>
        </w:rPr>
        <w:lastRenderedPageBreak/>
        <w:t> </w:t>
      </w:r>
    </w:p>
    <w:p w:rsidR="00B653D3" w:rsidRPr="00CE24E7" w:rsidRDefault="00B653D3">
      <w:pPr>
        <w:rPr>
          <w:rFonts w:ascii="Times New Roman" w:hAnsi="Times New Roman" w:cs="Times New Roman"/>
          <w:sz w:val="28"/>
          <w:szCs w:val="28"/>
        </w:rPr>
      </w:pPr>
    </w:p>
    <w:sectPr w:rsidR="00B653D3" w:rsidRPr="00CE24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1E" w:rsidRDefault="0064001E" w:rsidP="00B653D3">
      <w:pPr>
        <w:spacing w:after="0" w:line="240" w:lineRule="auto"/>
      </w:pPr>
      <w:r>
        <w:separator/>
      </w:r>
    </w:p>
  </w:endnote>
  <w:endnote w:type="continuationSeparator" w:id="0">
    <w:p w:rsidR="0064001E" w:rsidRDefault="0064001E" w:rsidP="00B6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D3" w:rsidRDefault="00B653D3">
    <w:pPr>
      <w:pStyle w:val="Footer"/>
      <w:tabs>
        <w:tab w:val="clear" w:pos="4680"/>
        <w:tab w:val="clear" w:pos="9360"/>
      </w:tabs>
      <w:jc w:val="center"/>
      <w:rPr>
        <w:caps/>
        <w:color w:val="5B9BD5" w:themeColor="accent1"/>
      </w:rPr>
    </w:pPr>
  </w:p>
  <w:p w:rsidR="00B653D3" w:rsidRDefault="00B653D3">
    <w:pPr>
      <w:pStyle w:val="Footer"/>
      <w:tabs>
        <w:tab w:val="clear" w:pos="4680"/>
        <w:tab w:val="clear" w:pos="9360"/>
      </w:tabs>
      <w:jc w:val="center"/>
      <w:rPr>
        <w:caps/>
        <w:color w:val="5B9BD5" w:themeColor="accent1"/>
      </w:rPr>
    </w:pPr>
  </w:p>
  <w:p w:rsidR="00B653D3" w:rsidRDefault="00B653D3">
    <w:pPr>
      <w:pStyle w:val="Footer"/>
      <w:tabs>
        <w:tab w:val="clear" w:pos="4680"/>
        <w:tab w:val="clear" w:pos="9360"/>
      </w:tabs>
      <w:jc w:val="center"/>
      <w:rPr>
        <w:caps/>
        <w:color w:val="5B9BD5" w:themeColor="accent1"/>
      </w:rPr>
    </w:pPr>
  </w:p>
  <w:p w:rsidR="00B653D3" w:rsidRDefault="00B653D3">
    <w:pPr>
      <w:pStyle w:val="Footer"/>
      <w:tabs>
        <w:tab w:val="clear" w:pos="4680"/>
        <w:tab w:val="clear" w:pos="9360"/>
      </w:tabs>
      <w:jc w:val="center"/>
      <w:rPr>
        <w:caps/>
        <w:color w:val="5B9BD5" w:themeColor="accent1"/>
      </w:rPr>
    </w:pPr>
  </w:p>
  <w:p w:rsidR="00B653D3" w:rsidRDefault="00B653D3">
    <w:pPr>
      <w:pStyle w:val="Footer"/>
      <w:tabs>
        <w:tab w:val="clear" w:pos="4680"/>
        <w:tab w:val="clear" w:pos="9360"/>
      </w:tabs>
      <w:jc w:val="center"/>
      <w:rPr>
        <w:caps/>
        <w:color w:val="5B9BD5" w:themeColor="accent1"/>
      </w:rPr>
    </w:pPr>
  </w:p>
  <w:p w:rsidR="00B653D3" w:rsidRDefault="00B653D3">
    <w:pPr>
      <w:pStyle w:val="Footer"/>
      <w:tabs>
        <w:tab w:val="clear" w:pos="4680"/>
        <w:tab w:val="clear" w:pos="9360"/>
      </w:tabs>
      <w:jc w:val="center"/>
      <w:rPr>
        <w:caps/>
        <w:color w:val="5B9BD5" w:themeColor="accent1"/>
      </w:rPr>
    </w:pPr>
  </w:p>
  <w:p w:rsidR="00B653D3" w:rsidRDefault="00B653D3">
    <w:pPr>
      <w:pStyle w:val="Footer"/>
      <w:tabs>
        <w:tab w:val="clear" w:pos="4680"/>
        <w:tab w:val="clear" w:pos="9360"/>
      </w:tabs>
      <w:jc w:val="center"/>
      <w:rPr>
        <w:caps/>
        <w:color w:val="5B9BD5" w:themeColor="accent1"/>
      </w:rPr>
    </w:pPr>
  </w:p>
  <w:p w:rsidR="00B653D3" w:rsidRPr="00FD3BA7" w:rsidRDefault="00B653D3" w:rsidP="00B653D3">
    <w:pPr>
      <w:pStyle w:val="Header"/>
      <w:jc w:val="center"/>
      <w:rPr>
        <w:rFonts w:ascii="Times New Roman" w:hAnsi="Times New Roman" w:cs="Times New Roman"/>
        <w:b/>
        <w:color w:val="0070C0"/>
      </w:rPr>
    </w:pPr>
    <w:proofErr w:type="spellStart"/>
    <w:r w:rsidRPr="00FD3BA7">
      <w:rPr>
        <w:rFonts w:ascii="Times New Roman" w:hAnsi="Times New Roman" w:cs="Times New Roman"/>
        <w:b/>
        <w:color w:val="0070C0"/>
      </w:rPr>
      <w:t>Công</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ty</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Luật</w:t>
    </w:r>
    <w:proofErr w:type="spellEnd"/>
    <w:r w:rsidRPr="00FD3BA7">
      <w:rPr>
        <w:rFonts w:ascii="Times New Roman" w:hAnsi="Times New Roman" w:cs="Times New Roman"/>
        <w:b/>
        <w:color w:val="0070C0"/>
      </w:rPr>
      <w:t xml:space="preserve"> TNHH Sao </w:t>
    </w:r>
    <w:proofErr w:type="spellStart"/>
    <w:r w:rsidRPr="00FD3BA7">
      <w:rPr>
        <w:rFonts w:ascii="Times New Roman" w:hAnsi="Times New Roman" w:cs="Times New Roman"/>
        <w:b/>
        <w:color w:val="0070C0"/>
      </w:rPr>
      <w:t>Việt</w:t>
    </w:r>
    <w:proofErr w:type="spellEnd"/>
  </w:p>
  <w:p w:rsidR="00B653D3" w:rsidRPr="00FD3BA7" w:rsidRDefault="00B653D3" w:rsidP="00B653D3">
    <w:pPr>
      <w:pStyle w:val="Header"/>
      <w:jc w:val="center"/>
      <w:rPr>
        <w:rFonts w:ascii="Times New Roman" w:hAnsi="Times New Roman" w:cs="Times New Roman"/>
        <w:i/>
        <w:color w:val="0070C0"/>
      </w:rPr>
    </w:pPr>
    <w:r w:rsidRPr="00FD3BA7">
      <w:rPr>
        <w:rFonts w:ascii="Times New Roman" w:hAnsi="Times New Roman" w:cs="Times New Roman"/>
        <w:i/>
        <w:color w:val="0070C0"/>
      </w:rPr>
      <w:t>“</w:t>
    </w:r>
    <w:proofErr w:type="spellStart"/>
    <w:r w:rsidRPr="00FD3BA7">
      <w:rPr>
        <w:rFonts w:ascii="Times New Roman" w:hAnsi="Times New Roman" w:cs="Times New Roman"/>
        <w:i/>
        <w:color w:val="0070C0"/>
      </w:rPr>
      <w:t>Sự</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bảo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hộ</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hoàn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trong</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mọi</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quan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hệ</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pháp</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luật</w:t>
    </w:r>
    <w:proofErr w:type="spellEnd"/>
    <w:r w:rsidRPr="00FD3BA7">
      <w:rPr>
        <w:rFonts w:ascii="Times New Roman" w:hAnsi="Times New Roman" w:cs="Times New Roman"/>
        <w:i/>
        <w:color w:val="0070C0"/>
      </w:rPr>
      <w:t>”</w:t>
    </w:r>
  </w:p>
  <w:p w:rsidR="00B653D3" w:rsidRDefault="00B653D3" w:rsidP="00B653D3">
    <w:pPr>
      <w:pStyle w:val="Header"/>
      <w:jc w:val="center"/>
      <w:rPr>
        <w:rFonts w:ascii="Times New Roman" w:hAnsi="Times New Roman" w:cs="Times New Roman"/>
        <w:color w:val="FF0000"/>
      </w:rPr>
    </w:pPr>
    <w:r w:rsidRPr="00FD3BA7">
      <w:rPr>
        <w:rFonts w:ascii="Times New Roman" w:hAnsi="Times New Roman" w:cs="Times New Roman"/>
        <w:color w:val="FF0000"/>
      </w:rPr>
      <w:t xml:space="preserve">Web: saovietlaw.com/ </w:t>
    </w:r>
    <w:proofErr w:type="spellStart"/>
    <w:r w:rsidRPr="00FD3BA7">
      <w:rPr>
        <w:rFonts w:ascii="Times New Roman" w:hAnsi="Times New Roman" w:cs="Times New Roman"/>
        <w:color w:val="FF0000"/>
      </w:rPr>
      <w:t>Tổng</w:t>
    </w:r>
    <w:proofErr w:type="spellEnd"/>
    <w:r w:rsidRPr="00FD3BA7">
      <w:rPr>
        <w:rFonts w:ascii="Times New Roman" w:hAnsi="Times New Roman" w:cs="Times New Roman"/>
        <w:color w:val="FF0000"/>
      </w:rPr>
      <w:t xml:space="preserve"> </w:t>
    </w:r>
    <w:proofErr w:type="spellStart"/>
    <w:r w:rsidRPr="00FD3BA7">
      <w:rPr>
        <w:rFonts w:ascii="Times New Roman" w:hAnsi="Times New Roman" w:cs="Times New Roman"/>
        <w:color w:val="FF0000"/>
      </w:rPr>
      <w:t>đài</w:t>
    </w:r>
    <w:proofErr w:type="spellEnd"/>
    <w:r w:rsidRPr="00FD3BA7">
      <w:rPr>
        <w:rFonts w:ascii="Times New Roman" w:hAnsi="Times New Roman" w:cs="Times New Roman"/>
        <w:color w:val="FF0000"/>
      </w:rPr>
      <w:t xml:space="preserve"> 1900 6243</w:t>
    </w:r>
  </w:p>
  <w:p w:rsidR="00B653D3" w:rsidRDefault="00B653D3" w:rsidP="00B653D3">
    <w:pPr>
      <w:pStyle w:val="Header"/>
      <w:jc w:val="center"/>
      <w:rPr>
        <w:rFonts w:ascii="Times New Roman" w:hAnsi="Times New Roman" w:cs="Times New Roman"/>
        <w:color w:val="FF0000"/>
      </w:rPr>
    </w:pPr>
  </w:p>
  <w:p w:rsidR="00B653D3" w:rsidRDefault="00B653D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E24E7">
      <w:rPr>
        <w:caps/>
        <w:noProof/>
        <w:color w:val="5B9BD5" w:themeColor="accent1"/>
      </w:rPr>
      <w:t>13</w:t>
    </w:r>
    <w:r>
      <w:rPr>
        <w:caps/>
        <w:noProof/>
        <w:color w:val="5B9BD5" w:themeColor="accent1"/>
      </w:rPr>
      <w:fldChar w:fldCharType="end"/>
    </w:r>
  </w:p>
  <w:p w:rsidR="00B653D3" w:rsidRDefault="00B65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1E" w:rsidRDefault="0064001E" w:rsidP="00B653D3">
      <w:pPr>
        <w:spacing w:after="0" w:line="240" w:lineRule="auto"/>
      </w:pPr>
      <w:r>
        <w:separator/>
      </w:r>
    </w:p>
  </w:footnote>
  <w:footnote w:type="continuationSeparator" w:id="0">
    <w:p w:rsidR="0064001E" w:rsidRDefault="0064001E" w:rsidP="00B65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D3"/>
    <w:rsid w:val="0064001E"/>
    <w:rsid w:val="00982F10"/>
    <w:rsid w:val="00B653D3"/>
    <w:rsid w:val="00CE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92D6-D732-4BEA-831C-302C1543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3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53D3"/>
    <w:rPr>
      <w:color w:val="0000FF"/>
      <w:u w:val="single"/>
    </w:rPr>
  </w:style>
  <w:style w:type="paragraph" w:styleId="Header">
    <w:name w:val="header"/>
    <w:basedOn w:val="Normal"/>
    <w:link w:val="HeaderChar"/>
    <w:uiPriority w:val="99"/>
    <w:unhideWhenUsed/>
    <w:rsid w:val="00B65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D3"/>
  </w:style>
  <w:style w:type="paragraph" w:styleId="Footer">
    <w:name w:val="footer"/>
    <w:basedOn w:val="Normal"/>
    <w:link w:val="FooterChar"/>
    <w:uiPriority w:val="99"/>
    <w:unhideWhenUsed/>
    <w:rsid w:val="00B65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2019-06-28T01:37:00Z</dcterms:created>
  <dcterms:modified xsi:type="dcterms:W3CDTF">2019-06-28T01:46:00Z</dcterms:modified>
</cp:coreProperties>
</file>